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910"/>
        <w:gridCol w:w="1317"/>
        <w:gridCol w:w="4128"/>
      </w:tblGrid>
      <w:tr w:rsidR="00D04DDA" w:rsidRPr="002E6299" w:rsidTr="00D73C40">
        <w:trPr>
          <w:trHeight w:val="2156"/>
        </w:trPr>
        <w:tc>
          <w:tcPr>
            <w:tcW w:w="4428" w:type="dxa"/>
            <w:shd w:val="clear" w:color="auto" w:fill="auto"/>
          </w:tcPr>
          <w:p w:rsidR="00D04DDA" w:rsidRPr="002E6299" w:rsidRDefault="00D04DDA" w:rsidP="00D73C40">
            <w:pPr>
              <w:jc w:val="center"/>
              <w:rPr>
                <w:b/>
              </w:rPr>
            </w:pPr>
            <w:r w:rsidRPr="002E6299">
              <w:rPr>
                <w:b/>
              </w:rPr>
              <w:t xml:space="preserve">Саха </w:t>
            </w:r>
            <w:proofErr w:type="spellStart"/>
            <w:r w:rsidRPr="002E6299">
              <w:rPr>
                <w:b/>
              </w:rPr>
              <w:t>Республиката</w:t>
            </w:r>
            <w:proofErr w:type="spellEnd"/>
          </w:p>
          <w:p w:rsidR="00D04DDA" w:rsidRPr="002E6299" w:rsidRDefault="00D04DDA" w:rsidP="00D73C40">
            <w:pPr>
              <w:jc w:val="center"/>
              <w:rPr>
                <w:b/>
              </w:rPr>
            </w:pPr>
            <w:proofErr w:type="spellStart"/>
            <w:r w:rsidRPr="002E6299">
              <w:rPr>
                <w:b/>
              </w:rPr>
              <w:t>Мииринэй</w:t>
            </w:r>
            <w:proofErr w:type="spellEnd"/>
            <w:r w:rsidRPr="002E6299">
              <w:rPr>
                <w:b/>
              </w:rPr>
              <w:t xml:space="preserve"> </w:t>
            </w:r>
            <w:proofErr w:type="spellStart"/>
            <w:r w:rsidRPr="002E6299">
              <w:rPr>
                <w:b/>
              </w:rPr>
              <w:t>улуу</w:t>
            </w:r>
            <w:proofErr w:type="spellEnd"/>
            <w:r w:rsidRPr="002E6299">
              <w:rPr>
                <w:b/>
                <w:lang w:val="en-US"/>
              </w:rPr>
              <w:t>h</w:t>
            </w:r>
            <w:proofErr w:type="spellStart"/>
            <w:r w:rsidRPr="002E6299">
              <w:rPr>
                <w:b/>
              </w:rPr>
              <w:t>ун</w:t>
            </w:r>
            <w:proofErr w:type="spellEnd"/>
          </w:p>
          <w:p w:rsidR="00D04DDA" w:rsidRPr="002E6299" w:rsidRDefault="00D04DDA" w:rsidP="00D73C40">
            <w:pPr>
              <w:jc w:val="center"/>
              <w:rPr>
                <w:b/>
              </w:rPr>
            </w:pPr>
            <w:r w:rsidRPr="002E6299">
              <w:rPr>
                <w:b/>
              </w:rPr>
              <w:t xml:space="preserve">Айхал </w:t>
            </w:r>
            <w:proofErr w:type="spellStart"/>
            <w:r w:rsidRPr="002E6299">
              <w:rPr>
                <w:b/>
              </w:rPr>
              <w:t>бө</w:t>
            </w:r>
            <w:proofErr w:type="spellEnd"/>
            <w:r w:rsidRPr="002E6299">
              <w:rPr>
                <w:b/>
                <w:lang w:val="en-US"/>
              </w:rPr>
              <w:t>h</w:t>
            </w:r>
            <w:proofErr w:type="spellStart"/>
            <w:r w:rsidRPr="002E6299">
              <w:rPr>
                <w:b/>
              </w:rPr>
              <w:t>үөлэгин</w:t>
            </w:r>
            <w:proofErr w:type="spellEnd"/>
          </w:p>
          <w:p w:rsidR="00D04DDA" w:rsidRPr="002E6299" w:rsidRDefault="00D04DDA" w:rsidP="00D73C40">
            <w:pPr>
              <w:jc w:val="center"/>
              <w:rPr>
                <w:b/>
              </w:rPr>
            </w:pPr>
            <w:proofErr w:type="spellStart"/>
            <w:r w:rsidRPr="002E6299">
              <w:rPr>
                <w:b/>
              </w:rPr>
              <w:t>Муниципальнай</w:t>
            </w:r>
            <w:proofErr w:type="spellEnd"/>
            <w:r w:rsidRPr="002E6299">
              <w:rPr>
                <w:b/>
              </w:rPr>
              <w:t xml:space="preserve"> </w:t>
            </w:r>
            <w:proofErr w:type="spellStart"/>
            <w:r w:rsidRPr="002E6299">
              <w:rPr>
                <w:b/>
              </w:rPr>
              <w:t>тэриллиитин</w:t>
            </w:r>
            <w:proofErr w:type="spellEnd"/>
          </w:p>
          <w:p w:rsidR="00D04DDA" w:rsidRPr="002E6299" w:rsidRDefault="00D04DDA" w:rsidP="00D73C40">
            <w:pPr>
              <w:jc w:val="center"/>
              <w:rPr>
                <w:b/>
              </w:rPr>
            </w:pPr>
            <w:r w:rsidRPr="002E6299">
              <w:rPr>
                <w:b/>
              </w:rPr>
              <w:t xml:space="preserve">Д Ь А </w:t>
            </w:r>
            <w:r w:rsidRPr="002E6299">
              <w:rPr>
                <w:b/>
                <w:lang w:val="en-US"/>
              </w:rPr>
              <w:t>h</w:t>
            </w:r>
            <w:r w:rsidRPr="002E6299">
              <w:rPr>
                <w:b/>
              </w:rPr>
              <w:t xml:space="preserve"> А Л Т А Т А</w:t>
            </w:r>
          </w:p>
          <w:p w:rsidR="00D04DDA" w:rsidRPr="002E6299" w:rsidRDefault="00D04DDA" w:rsidP="00D73C40">
            <w:pPr>
              <w:jc w:val="center"/>
              <w:rPr>
                <w:b/>
              </w:rPr>
            </w:pPr>
          </w:p>
          <w:p w:rsidR="00D04DDA" w:rsidRPr="002E6299" w:rsidRDefault="00D04DDA" w:rsidP="00D73C40">
            <w:pPr>
              <w:jc w:val="center"/>
              <w:rPr>
                <w:b/>
                <w:kern w:val="32"/>
                <w:position w:val="6"/>
                <w:sz w:val="32"/>
              </w:rPr>
            </w:pPr>
            <w:r w:rsidRPr="002E6299">
              <w:rPr>
                <w:b/>
                <w:position w:val="6"/>
                <w:sz w:val="32"/>
              </w:rPr>
              <w:t>УУРААХ</w:t>
            </w:r>
            <w:r w:rsidRPr="002E6299">
              <w:rPr>
                <w:b/>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320040</wp:posOffset>
                      </wp:positionV>
                      <wp:extent cx="6477000" cy="0"/>
                      <wp:effectExtent l="15240" t="15240" r="2286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1CBC7"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7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" strokeweight="2.25pt"/>
                  </w:pict>
                </mc:Fallback>
              </mc:AlternateContent>
            </w:r>
          </w:p>
        </w:tc>
        <w:tc>
          <w:tcPr>
            <w:tcW w:w="1620" w:type="dxa"/>
            <w:shd w:val="clear" w:color="auto" w:fill="auto"/>
          </w:tcPr>
          <w:p w:rsidR="00D04DDA" w:rsidRDefault="00D04DDA" w:rsidP="00D73C40">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34290</wp:posOffset>
                  </wp:positionV>
                  <wp:extent cx="909955" cy="892810"/>
                  <wp:effectExtent l="0" t="0" r="4445" b="254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5" cstate="print">
                            <a:extLst>
                              <a:ext uri="{28A0092B-C50C-407E-A947-70E740481C1C}">
                                <a14:useLocalDpi xmlns:a14="http://schemas.microsoft.com/office/drawing/2010/main" val="0"/>
                              </a:ext>
                            </a:extLst>
                          </a:blip>
                          <a:srcRect t="21161" r="-61"/>
                          <a:stretch>
                            <a:fillRect/>
                          </a:stretch>
                        </pic:blipFill>
                        <pic:spPr bwMode="auto">
                          <a:xfrm>
                            <a:off x="0" y="0"/>
                            <a:ext cx="909955" cy="892810"/>
                          </a:xfrm>
                          <a:prstGeom prst="rect">
                            <a:avLst/>
                          </a:prstGeom>
                          <a:noFill/>
                        </pic:spPr>
                      </pic:pic>
                    </a:graphicData>
                  </a:graphic>
                  <wp14:sizeRelH relativeFrom="page">
                    <wp14:pctWidth>0</wp14:pctWidth>
                  </wp14:sizeRelH>
                  <wp14:sizeRelV relativeFrom="page">
                    <wp14:pctHeight>0</wp14:pctHeight>
                  </wp14:sizeRelV>
                </wp:anchor>
              </w:drawing>
            </w:r>
          </w:p>
        </w:tc>
        <w:tc>
          <w:tcPr>
            <w:tcW w:w="4373" w:type="dxa"/>
            <w:shd w:val="clear" w:color="auto" w:fill="auto"/>
          </w:tcPr>
          <w:p w:rsidR="00D04DDA" w:rsidRPr="002E6299" w:rsidRDefault="00D04DDA" w:rsidP="00D73C40">
            <w:pPr>
              <w:jc w:val="center"/>
              <w:rPr>
                <w:b/>
              </w:rPr>
            </w:pPr>
            <w:r w:rsidRPr="002E6299">
              <w:rPr>
                <w:b/>
              </w:rPr>
              <w:t>А Д М И Н И С Т Р А Ц И Я</w:t>
            </w:r>
          </w:p>
          <w:p w:rsidR="00D04DDA" w:rsidRPr="002E6299" w:rsidRDefault="00D04DDA" w:rsidP="00D73C40">
            <w:pPr>
              <w:jc w:val="center"/>
              <w:rPr>
                <w:b/>
              </w:rPr>
            </w:pPr>
            <w:r w:rsidRPr="002E6299">
              <w:rPr>
                <w:b/>
              </w:rPr>
              <w:t>Муниципального образования</w:t>
            </w:r>
          </w:p>
          <w:p w:rsidR="00D04DDA" w:rsidRPr="002E6299" w:rsidRDefault="00D04DDA" w:rsidP="00D73C40">
            <w:pPr>
              <w:jc w:val="center"/>
              <w:rPr>
                <w:b/>
              </w:rPr>
            </w:pPr>
            <w:r w:rsidRPr="002E6299">
              <w:rPr>
                <w:b/>
              </w:rPr>
              <w:t>«Поселок Айхал»</w:t>
            </w:r>
          </w:p>
          <w:p w:rsidR="00D04DDA" w:rsidRPr="002E6299" w:rsidRDefault="00D04DDA" w:rsidP="00D73C40">
            <w:pPr>
              <w:jc w:val="center"/>
              <w:rPr>
                <w:b/>
              </w:rPr>
            </w:pPr>
            <w:r w:rsidRPr="002E6299">
              <w:rPr>
                <w:b/>
              </w:rPr>
              <w:t>Мирнинского района</w:t>
            </w:r>
          </w:p>
          <w:p w:rsidR="00D04DDA" w:rsidRPr="002E6299" w:rsidRDefault="00D04DDA" w:rsidP="00D73C40">
            <w:pPr>
              <w:jc w:val="center"/>
              <w:rPr>
                <w:b/>
              </w:rPr>
            </w:pPr>
            <w:r w:rsidRPr="002E6299">
              <w:rPr>
                <w:b/>
              </w:rPr>
              <w:t>Республика Саха (Якутия)</w:t>
            </w:r>
          </w:p>
          <w:p w:rsidR="00D04DDA" w:rsidRPr="002E6299" w:rsidRDefault="00D04DDA" w:rsidP="00D73C40">
            <w:pPr>
              <w:jc w:val="center"/>
              <w:rPr>
                <w:b/>
                <w:sz w:val="28"/>
                <w:szCs w:val="28"/>
              </w:rPr>
            </w:pPr>
          </w:p>
          <w:p w:rsidR="00D04DDA" w:rsidRPr="002E6299" w:rsidRDefault="00D04DDA" w:rsidP="00D73C40">
            <w:pPr>
              <w:jc w:val="center"/>
              <w:rPr>
                <w:b/>
                <w:sz w:val="28"/>
                <w:szCs w:val="28"/>
              </w:rPr>
            </w:pPr>
            <w:r w:rsidRPr="002E6299">
              <w:rPr>
                <w:b/>
                <w:bCs/>
                <w:kern w:val="32"/>
                <w:position w:val="6"/>
                <w:sz w:val="32"/>
              </w:rPr>
              <w:t>ПОСТАНОВЛЕНИЕ</w:t>
            </w:r>
          </w:p>
          <w:p w:rsidR="00D04DDA" w:rsidRPr="002E6299" w:rsidRDefault="00D04DDA" w:rsidP="00D73C40">
            <w:pPr>
              <w:jc w:val="center"/>
              <w:rPr>
                <w:b/>
                <w:bCs/>
                <w:kern w:val="32"/>
                <w:position w:val="6"/>
                <w:sz w:val="2"/>
                <w:szCs w:val="2"/>
              </w:rPr>
            </w:pPr>
          </w:p>
          <w:p w:rsidR="00D04DDA" w:rsidRPr="002E6299" w:rsidRDefault="00D04DDA" w:rsidP="00D73C40">
            <w:pPr>
              <w:jc w:val="center"/>
              <w:rPr>
                <w:b/>
                <w:bCs/>
                <w:kern w:val="32"/>
                <w:position w:val="6"/>
                <w:sz w:val="2"/>
                <w:szCs w:val="2"/>
              </w:rPr>
            </w:pPr>
          </w:p>
        </w:tc>
      </w:tr>
    </w:tbl>
    <w:p w:rsidR="00D04DDA" w:rsidRDefault="00D04DDA" w:rsidP="00D04DDA">
      <w:pPr>
        <w:rPr>
          <w:sz w:val="2"/>
          <w:szCs w:val="2"/>
        </w:rPr>
      </w:pPr>
    </w:p>
    <w:p w:rsidR="00D04DDA" w:rsidRDefault="00D04DDA" w:rsidP="00D04DDA">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0</wp:posOffset>
                </wp:positionV>
                <wp:extent cx="6477000" cy="0"/>
                <wp:effectExtent l="15240" t="15240" r="2286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D609"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" strokeweight="2.25pt"/>
            </w:pict>
          </mc:Fallback>
        </mc:AlternateContent>
      </w:r>
    </w:p>
    <w:p w:rsidR="00D04DDA" w:rsidRDefault="00D04DDA" w:rsidP="00D04DDA"/>
    <w:p w:rsidR="00D04DDA" w:rsidRDefault="00D04DDA" w:rsidP="00D04DDA">
      <w:r w:rsidRPr="00731011">
        <w:rPr>
          <w:u w:val="single"/>
        </w:rPr>
        <w:t>11.09.2015</w:t>
      </w:r>
      <w:r>
        <w:tab/>
      </w:r>
      <w:r>
        <w:tab/>
      </w:r>
      <w:r>
        <w:tab/>
      </w:r>
      <w:r>
        <w:tab/>
      </w:r>
      <w:r>
        <w:tab/>
      </w:r>
      <w:r>
        <w:tab/>
      </w:r>
      <w:r>
        <w:tab/>
      </w:r>
      <w:r>
        <w:tab/>
      </w:r>
      <w:r>
        <w:tab/>
      </w:r>
      <w:r>
        <w:tab/>
      </w:r>
      <w:r>
        <w:tab/>
      </w:r>
      <w:r w:rsidRPr="00731011">
        <w:rPr>
          <w:u w:val="single"/>
        </w:rPr>
        <w:t>№ 210</w:t>
      </w:r>
    </w:p>
    <w:p w:rsidR="00D04DDA" w:rsidRDefault="00D04DDA" w:rsidP="00D04DDA"/>
    <w:p w:rsidR="00D04DDA" w:rsidRDefault="00D04DDA" w:rsidP="00D04DDA"/>
    <w:p w:rsidR="00D04DDA" w:rsidRPr="00992451" w:rsidRDefault="00D04DDA" w:rsidP="00D04DDA">
      <w:pPr>
        <w:rPr>
          <w:b/>
        </w:rPr>
      </w:pPr>
      <w:r w:rsidRPr="00992451">
        <w:rPr>
          <w:b/>
        </w:rPr>
        <w:t xml:space="preserve">Об утверждении схемы </w:t>
      </w:r>
    </w:p>
    <w:p w:rsidR="00D04DDA" w:rsidRPr="00992451" w:rsidRDefault="00D04DDA" w:rsidP="00D04DDA">
      <w:pPr>
        <w:rPr>
          <w:b/>
        </w:rPr>
      </w:pPr>
      <w:r w:rsidRPr="00992451">
        <w:rPr>
          <w:b/>
        </w:rPr>
        <w:t xml:space="preserve"> </w:t>
      </w:r>
      <w:proofErr w:type="gramStart"/>
      <w:r w:rsidRPr="00992451">
        <w:rPr>
          <w:b/>
        </w:rPr>
        <w:t>размещения</w:t>
      </w:r>
      <w:proofErr w:type="gramEnd"/>
      <w:r w:rsidRPr="00992451">
        <w:rPr>
          <w:b/>
        </w:rPr>
        <w:t xml:space="preserve"> нестационарных торговых объектов</w:t>
      </w:r>
    </w:p>
    <w:p w:rsidR="00D04DDA" w:rsidRPr="00992451" w:rsidRDefault="00D04DDA" w:rsidP="00D04DDA">
      <w:pPr>
        <w:rPr>
          <w:rFonts w:eastAsia="Calibri"/>
          <w:b/>
          <w:lang w:eastAsia="en-US"/>
        </w:rPr>
      </w:pPr>
      <w:proofErr w:type="gramStart"/>
      <w:r w:rsidRPr="00992451">
        <w:rPr>
          <w:b/>
        </w:rPr>
        <w:t>на</w:t>
      </w:r>
      <w:proofErr w:type="gramEnd"/>
      <w:r w:rsidRPr="00992451">
        <w:rPr>
          <w:b/>
        </w:rPr>
        <w:t xml:space="preserve"> территории МО «Поселок Айхал»</w:t>
      </w:r>
      <w:r w:rsidRPr="00992451">
        <w:rPr>
          <w:rFonts w:eastAsia="Calibri"/>
          <w:b/>
          <w:lang w:eastAsia="en-US"/>
        </w:rPr>
        <w:t xml:space="preserve"> и Порядка</w:t>
      </w:r>
    </w:p>
    <w:p w:rsidR="00D04DDA" w:rsidRPr="00992451" w:rsidRDefault="00D04DDA" w:rsidP="00D04DDA">
      <w:pPr>
        <w:rPr>
          <w:rFonts w:eastAsia="Calibri"/>
          <w:b/>
          <w:lang w:eastAsia="en-US"/>
        </w:rPr>
      </w:pPr>
      <w:proofErr w:type="gramStart"/>
      <w:r w:rsidRPr="00992451">
        <w:rPr>
          <w:rFonts w:eastAsia="Calibri"/>
          <w:b/>
          <w:lang w:eastAsia="en-US"/>
        </w:rPr>
        <w:t>рассмотрения</w:t>
      </w:r>
      <w:proofErr w:type="gramEnd"/>
      <w:r w:rsidRPr="00992451">
        <w:rPr>
          <w:rFonts w:eastAsia="Calibri"/>
          <w:b/>
          <w:lang w:eastAsia="en-US"/>
        </w:rPr>
        <w:t xml:space="preserve"> предложений юридических и физических лиц</w:t>
      </w:r>
    </w:p>
    <w:p w:rsidR="00D04DDA" w:rsidRPr="00992451" w:rsidRDefault="00D04DDA" w:rsidP="00D04DDA">
      <w:pPr>
        <w:rPr>
          <w:rFonts w:eastAsia="Calibri"/>
          <w:b/>
          <w:lang w:eastAsia="en-US"/>
        </w:rPr>
      </w:pPr>
      <w:proofErr w:type="gramStart"/>
      <w:r w:rsidRPr="00992451">
        <w:rPr>
          <w:rFonts w:eastAsia="Calibri"/>
          <w:b/>
          <w:lang w:eastAsia="en-US"/>
        </w:rPr>
        <w:t>о</w:t>
      </w:r>
      <w:proofErr w:type="gramEnd"/>
      <w:r w:rsidRPr="00992451">
        <w:rPr>
          <w:rFonts w:eastAsia="Calibri"/>
          <w:b/>
          <w:lang w:eastAsia="en-US"/>
        </w:rPr>
        <w:t xml:space="preserve"> включении нестационарных торговых объектов</w:t>
      </w:r>
    </w:p>
    <w:p w:rsidR="00D04DDA" w:rsidRPr="00992451" w:rsidRDefault="00D04DDA" w:rsidP="00D04DDA">
      <w:pPr>
        <w:rPr>
          <w:rFonts w:eastAsia="Calibri"/>
          <w:b/>
          <w:lang w:eastAsia="en-US"/>
        </w:rPr>
      </w:pPr>
      <w:proofErr w:type="gramStart"/>
      <w:r w:rsidRPr="00992451">
        <w:rPr>
          <w:rFonts w:eastAsia="Calibri"/>
          <w:b/>
          <w:lang w:eastAsia="en-US"/>
        </w:rPr>
        <w:t>в</w:t>
      </w:r>
      <w:proofErr w:type="gramEnd"/>
      <w:r w:rsidRPr="00992451">
        <w:rPr>
          <w:rFonts w:eastAsia="Calibri"/>
          <w:b/>
          <w:lang w:eastAsia="en-US"/>
        </w:rPr>
        <w:t xml:space="preserve"> Схему размещения нестационарных торговых</w:t>
      </w:r>
    </w:p>
    <w:p w:rsidR="00D04DDA" w:rsidRPr="00992451" w:rsidRDefault="00D04DDA" w:rsidP="00D04DDA">
      <w:pPr>
        <w:rPr>
          <w:b/>
        </w:rPr>
      </w:pPr>
      <w:proofErr w:type="gramStart"/>
      <w:r w:rsidRPr="00992451">
        <w:rPr>
          <w:rFonts w:eastAsia="Calibri"/>
          <w:b/>
          <w:lang w:eastAsia="en-US"/>
        </w:rPr>
        <w:t>объектов</w:t>
      </w:r>
      <w:proofErr w:type="gramEnd"/>
      <w:r w:rsidRPr="00992451">
        <w:rPr>
          <w:rFonts w:eastAsia="Calibri"/>
          <w:b/>
          <w:lang w:eastAsia="en-US"/>
        </w:rPr>
        <w:t xml:space="preserve"> на территории муниципального образования «Поселок Айхал»</w:t>
      </w:r>
    </w:p>
    <w:p w:rsidR="00D04DDA" w:rsidRDefault="00D04DDA" w:rsidP="00D04DDA"/>
    <w:p w:rsidR="00D04DDA" w:rsidRDefault="00D04DDA" w:rsidP="00D04DDA">
      <w:pPr>
        <w:autoSpaceDE w:val="0"/>
        <w:autoSpaceDN w:val="0"/>
        <w:adjustRightInd w:val="0"/>
        <w:ind w:firstLine="540"/>
        <w:jc w:val="both"/>
      </w:pPr>
      <w:r>
        <w:t>В соответствии с пунктом 3 статьи 10 Федерального закона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РС (Я) от 10.06.2011 № 243 «О Порядке разработки и утверждения схем размещения нестационарных торговых объектов органами местного самоуправления Республики Саха (Якутия)», руководствуясь Уставом муниципального образования «Поселок Айхал» Мирнинского района Республики Саха (Якутия), администрация муниципального образования «Поселок Айхал» Мирнинского района Республики Саха (Якутия) постановляет:</w:t>
      </w:r>
    </w:p>
    <w:p w:rsidR="00D04DDA" w:rsidRDefault="00D04DDA" w:rsidP="00D04DDA">
      <w:pPr>
        <w:autoSpaceDE w:val="0"/>
        <w:autoSpaceDN w:val="0"/>
        <w:adjustRightInd w:val="0"/>
        <w:ind w:left="540"/>
        <w:jc w:val="both"/>
      </w:pPr>
    </w:p>
    <w:p w:rsidR="00D04DDA" w:rsidRDefault="00D04DDA" w:rsidP="00D04DDA">
      <w:pPr>
        <w:numPr>
          <w:ilvl w:val="0"/>
          <w:numId w:val="1"/>
        </w:numPr>
        <w:autoSpaceDE w:val="0"/>
        <w:autoSpaceDN w:val="0"/>
        <w:adjustRightInd w:val="0"/>
        <w:ind w:left="0" w:firstLine="567"/>
        <w:jc w:val="both"/>
      </w:pPr>
      <w:r>
        <w:t>Признать утратившим силу постановление</w:t>
      </w:r>
      <w:r w:rsidRPr="003375F8">
        <w:t xml:space="preserve"> </w:t>
      </w:r>
      <w:r>
        <w:t>администрация муниципального образования «Поселок Айхал» Мирнинского района Республики Саха (Якутия) от 28.01.2014 № 12 «Об утверждении Схемы размещения нестационарных торговых объектов на территории МО «Поселок Айхал» и Порядка рассмотрения предложений юридических и физических лиц о включении планируемых к размещению нестационарных торговых объектов в Схему размещения нестационарных торговых объектов на территории МО «Поселок Айхал».</w:t>
      </w:r>
    </w:p>
    <w:p w:rsidR="00D04DDA" w:rsidRDefault="00D04DDA" w:rsidP="00D04DDA">
      <w:pPr>
        <w:numPr>
          <w:ilvl w:val="0"/>
          <w:numId w:val="1"/>
        </w:numPr>
        <w:autoSpaceDE w:val="0"/>
        <w:autoSpaceDN w:val="0"/>
        <w:adjustRightInd w:val="0"/>
        <w:ind w:left="0" w:firstLine="567"/>
        <w:jc w:val="both"/>
      </w:pPr>
      <w:r>
        <w:t xml:space="preserve">Утвердить Схему размещения нестационарных торговых объектов на территории МО «Поселок Айхал» </w:t>
      </w:r>
      <w:r w:rsidRPr="00677DEA">
        <w:rPr>
          <w:rFonts w:eastAsia="Calibri"/>
          <w:lang w:eastAsia="en-US"/>
        </w:rPr>
        <w:t>сроком на 3 года</w:t>
      </w:r>
      <w:r w:rsidRPr="00677DEA">
        <w:t xml:space="preserve"> </w:t>
      </w:r>
      <w:r>
        <w:t>(Приложение 1).</w:t>
      </w:r>
    </w:p>
    <w:p w:rsidR="00D04DDA" w:rsidRPr="00677DEA" w:rsidRDefault="00D04DDA" w:rsidP="00D04DDA">
      <w:pPr>
        <w:numPr>
          <w:ilvl w:val="0"/>
          <w:numId w:val="1"/>
        </w:numPr>
        <w:autoSpaceDE w:val="0"/>
        <w:autoSpaceDN w:val="0"/>
        <w:adjustRightInd w:val="0"/>
        <w:ind w:left="0" w:firstLine="567"/>
        <w:jc w:val="both"/>
      </w:pPr>
      <w:r>
        <w:t xml:space="preserve">Утвердить </w:t>
      </w:r>
      <w:r>
        <w:rPr>
          <w:rFonts w:eastAsia="Calibri"/>
          <w:lang w:eastAsia="en-US"/>
        </w:rPr>
        <w:t>Порядок рассмотрения предложений юридических и физических лиц о включении нестационарных торговых объектов в Схему размещения нестационарных торговых объектов на территории муниципального образования «Поселок Айхал» (Приложение 2).</w:t>
      </w:r>
    </w:p>
    <w:p w:rsidR="00D04DDA" w:rsidRDefault="00D04DDA" w:rsidP="00D04DDA">
      <w:pPr>
        <w:numPr>
          <w:ilvl w:val="0"/>
          <w:numId w:val="1"/>
        </w:numPr>
        <w:autoSpaceDE w:val="0"/>
        <w:autoSpaceDN w:val="0"/>
        <w:adjustRightInd w:val="0"/>
        <w:ind w:left="0" w:firstLine="567"/>
        <w:jc w:val="both"/>
      </w:pPr>
      <w:r>
        <w:t xml:space="preserve">Специалисту по связям с общественностью опубликовать настоящее постановление в средствах массовой информации (газета «Новости </w:t>
      </w:r>
      <w:proofErr w:type="spellStart"/>
      <w:r>
        <w:t>Айхала</w:t>
      </w:r>
      <w:proofErr w:type="spellEnd"/>
      <w:r>
        <w:t xml:space="preserve">», и разместить на официальном сайте МО «Поселок Айхал» </w:t>
      </w:r>
      <w:r>
        <w:rPr>
          <w:lang w:val="en-US"/>
        </w:rPr>
        <w:t>www</w:t>
      </w:r>
      <w:r>
        <w:t xml:space="preserve"> </w:t>
      </w:r>
      <w:proofErr w:type="spellStart"/>
      <w:r>
        <w:t>мо-айхал.рф</w:t>
      </w:r>
      <w:proofErr w:type="spellEnd"/>
      <w:r>
        <w:t>).</w:t>
      </w:r>
    </w:p>
    <w:p w:rsidR="00D04DDA" w:rsidRDefault="00D04DDA" w:rsidP="00D04DDA">
      <w:pPr>
        <w:numPr>
          <w:ilvl w:val="0"/>
          <w:numId w:val="1"/>
        </w:numPr>
        <w:autoSpaceDE w:val="0"/>
        <w:autoSpaceDN w:val="0"/>
        <w:adjustRightInd w:val="0"/>
        <w:ind w:left="0" w:firstLine="567"/>
        <w:jc w:val="both"/>
      </w:pPr>
      <w:r>
        <w:t>Контроль исполнения настоящего постановления оставляю за собой.</w:t>
      </w:r>
    </w:p>
    <w:p w:rsidR="00D04DDA" w:rsidRDefault="00D04DDA" w:rsidP="00D04DDA">
      <w:pPr>
        <w:autoSpaceDE w:val="0"/>
        <w:autoSpaceDN w:val="0"/>
        <w:adjustRightInd w:val="0"/>
        <w:ind w:firstLine="567"/>
        <w:jc w:val="both"/>
      </w:pPr>
    </w:p>
    <w:p w:rsidR="00D04DDA" w:rsidRDefault="00D04DDA" w:rsidP="00D04DDA">
      <w:pPr>
        <w:autoSpaceDE w:val="0"/>
        <w:autoSpaceDN w:val="0"/>
        <w:adjustRightInd w:val="0"/>
        <w:ind w:firstLine="567"/>
        <w:jc w:val="both"/>
      </w:pPr>
    </w:p>
    <w:p w:rsidR="00D04DDA" w:rsidRDefault="00D04DDA" w:rsidP="00D04DDA">
      <w:pPr>
        <w:autoSpaceDE w:val="0"/>
        <w:autoSpaceDN w:val="0"/>
        <w:adjustRightInd w:val="0"/>
        <w:ind w:firstLine="567"/>
        <w:jc w:val="both"/>
      </w:pPr>
      <w:bookmarkStart w:id="0" w:name="_GoBack"/>
      <w:bookmarkEnd w:id="0"/>
    </w:p>
    <w:p w:rsidR="00D04DDA" w:rsidRDefault="00D04DDA" w:rsidP="00D04DDA">
      <w:pPr>
        <w:autoSpaceDE w:val="0"/>
        <w:autoSpaceDN w:val="0"/>
        <w:adjustRightInd w:val="0"/>
        <w:jc w:val="both"/>
      </w:pPr>
      <w:r w:rsidRPr="00A6572D">
        <w:rPr>
          <w:b/>
        </w:rPr>
        <w:t xml:space="preserve">Глава МО «Поселок </w:t>
      </w:r>
      <w:proofErr w:type="gramStart"/>
      <w:r w:rsidRPr="00A6572D">
        <w:rPr>
          <w:b/>
        </w:rPr>
        <w:t>Айхал»</w:t>
      </w:r>
      <w:r w:rsidRPr="00A6572D">
        <w:rPr>
          <w:b/>
        </w:rPr>
        <w:tab/>
      </w:r>
      <w:proofErr w:type="gramEnd"/>
      <w:r w:rsidRPr="00A6572D">
        <w:rPr>
          <w:b/>
        </w:rPr>
        <w:tab/>
      </w:r>
      <w:r w:rsidRPr="00A6572D">
        <w:rPr>
          <w:b/>
        </w:rPr>
        <w:tab/>
      </w:r>
      <w:r w:rsidRPr="00A6572D">
        <w:rPr>
          <w:b/>
        </w:rPr>
        <w:tab/>
      </w:r>
      <w:r w:rsidRPr="00A6572D">
        <w:rPr>
          <w:b/>
        </w:rPr>
        <w:tab/>
      </w:r>
      <w:r>
        <w:rPr>
          <w:b/>
        </w:rPr>
        <w:tab/>
      </w:r>
      <w:r w:rsidRPr="00A6572D">
        <w:rPr>
          <w:b/>
        </w:rPr>
        <w:tab/>
        <w:t>В.Д. Шайкин</w:t>
      </w:r>
    </w:p>
    <w:sectPr w:rsidR="00D04DDA" w:rsidSect="00D04DDA">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21B88"/>
    <w:multiLevelType w:val="multilevel"/>
    <w:tmpl w:val="CDF61598"/>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DA"/>
    <w:rsid w:val="0050011F"/>
    <w:rsid w:val="00D0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F2D57-444D-4091-B139-426B185D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1</cp:revision>
  <dcterms:created xsi:type="dcterms:W3CDTF">2015-09-15T06:47:00Z</dcterms:created>
  <dcterms:modified xsi:type="dcterms:W3CDTF">2015-09-15T06:48:00Z</dcterms:modified>
</cp:coreProperties>
</file>